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E5E2" w14:textId="7D7862AE" w:rsidR="00136173" w:rsidRDefault="0043738B" w:rsidP="00136173">
      <w:pPr>
        <w:jc w:val="center"/>
        <w:rPr>
          <w:rFonts w:ascii="Arial" w:hAnsi="Arial" w:cs="Arial"/>
          <w:b/>
          <w:bCs/>
          <w:sz w:val="22"/>
        </w:rPr>
      </w:pPr>
      <w:r>
        <w:rPr>
          <w:rFonts w:ascii="Arial" w:hAnsi="Arial" w:cs="Arial"/>
          <w:b/>
          <w:bCs/>
          <w:sz w:val="22"/>
        </w:rPr>
        <w:t>Department of Environmental Conservation</w:t>
      </w:r>
    </w:p>
    <w:p w14:paraId="0E6EAE8A" w14:textId="55BB7323" w:rsidR="00136173" w:rsidRDefault="00136173" w:rsidP="00136173">
      <w:pPr>
        <w:jc w:val="center"/>
        <w:rPr>
          <w:rFonts w:ascii="Arial" w:hAnsi="Arial" w:cs="Arial"/>
          <w:b/>
          <w:bCs/>
          <w:sz w:val="22"/>
        </w:rPr>
      </w:pPr>
      <w:r>
        <w:rPr>
          <w:rFonts w:ascii="Arial" w:hAnsi="Arial" w:cs="Arial"/>
          <w:b/>
          <w:bCs/>
          <w:sz w:val="22"/>
        </w:rPr>
        <w:t>and</w:t>
      </w:r>
    </w:p>
    <w:p w14:paraId="20C3A2FC" w14:textId="038E3ED5" w:rsidR="00136173" w:rsidRDefault="00136173" w:rsidP="00136173">
      <w:pPr>
        <w:jc w:val="center"/>
        <w:rPr>
          <w:rFonts w:ascii="Arial" w:hAnsi="Arial" w:cs="Arial"/>
          <w:b/>
          <w:bCs/>
          <w:sz w:val="22"/>
        </w:rPr>
      </w:pPr>
      <w:r>
        <w:rPr>
          <w:rFonts w:ascii="Arial" w:hAnsi="Arial" w:cs="Arial"/>
          <w:b/>
          <w:bCs/>
          <w:sz w:val="22"/>
        </w:rPr>
        <w:t>Watersheds United Vermont</w:t>
      </w:r>
    </w:p>
    <w:p w14:paraId="4EF73515" w14:textId="77777777" w:rsidR="00136173" w:rsidRDefault="00136173" w:rsidP="0043738B">
      <w:pPr>
        <w:jc w:val="center"/>
        <w:rPr>
          <w:rFonts w:ascii="Arial" w:hAnsi="Arial" w:cs="Arial"/>
          <w:b/>
          <w:bCs/>
          <w:sz w:val="22"/>
        </w:rPr>
      </w:pPr>
    </w:p>
    <w:p w14:paraId="14E551B4" w14:textId="2CA19C55" w:rsidR="0043738B" w:rsidRDefault="0043738B" w:rsidP="0043738B">
      <w:pPr>
        <w:jc w:val="center"/>
        <w:rPr>
          <w:rFonts w:ascii="Arial" w:hAnsi="Arial" w:cs="Arial"/>
          <w:sz w:val="22"/>
        </w:rPr>
      </w:pPr>
      <w:r>
        <w:rPr>
          <w:rFonts w:ascii="Arial" w:hAnsi="Arial" w:cs="Arial"/>
          <w:b/>
          <w:bCs/>
          <w:sz w:val="22"/>
        </w:rPr>
        <w:t>Request for Approval to Subgrant/Subcontract</w:t>
      </w:r>
    </w:p>
    <w:p w14:paraId="3C7C1512" w14:textId="77777777" w:rsidR="0043738B" w:rsidRDefault="0043738B" w:rsidP="0043738B">
      <w:pPr>
        <w:rPr>
          <w:rFonts w:ascii="Arial" w:hAnsi="Arial" w:cs="Arial"/>
          <w:sz w:val="22"/>
        </w:rPr>
      </w:pP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6669"/>
      </w:tblGrid>
      <w:tr w:rsidR="0043738B" w14:paraId="5FB52008" w14:textId="77777777" w:rsidTr="00C47808">
        <w:trPr>
          <w:trHeight w:val="305"/>
        </w:trPr>
        <w:tc>
          <w:tcPr>
            <w:tcW w:w="3648" w:type="dxa"/>
            <w:vAlign w:val="center"/>
          </w:tcPr>
          <w:p w14:paraId="7F413398" w14:textId="77777777" w:rsidR="0043738B" w:rsidRDefault="0043738B" w:rsidP="00C47808">
            <w:pPr>
              <w:rPr>
                <w:rFonts w:ascii="Arial" w:hAnsi="Arial" w:cs="Arial"/>
                <w:sz w:val="22"/>
              </w:rPr>
            </w:pPr>
            <w:r>
              <w:rPr>
                <w:rFonts w:ascii="Arial" w:hAnsi="Arial" w:cs="Arial"/>
                <w:sz w:val="22"/>
              </w:rPr>
              <w:t>Date of Request:</w:t>
            </w:r>
          </w:p>
        </w:tc>
        <w:tc>
          <w:tcPr>
            <w:tcW w:w="6669" w:type="dxa"/>
            <w:vAlign w:val="center"/>
          </w:tcPr>
          <w:p w14:paraId="0365492E" w14:textId="77777777" w:rsidR="0043738B" w:rsidRDefault="0043738B" w:rsidP="00C47808">
            <w:pPr>
              <w:rPr>
                <w:rFonts w:ascii="Arial" w:hAnsi="Arial" w:cs="Arial"/>
                <w:sz w:val="22"/>
              </w:rPr>
            </w:pPr>
          </w:p>
        </w:tc>
      </w:tr>
      <w:tr w:rsidR="0043738B" w14:paraId="7F68353D" w14:textId="77777777" w:rsidTr="00C47808">
        <w:trPr>
          <w:trHeight w:val="350"/>
        </w:trPr>
        <w:tc>
          <w:tcPr>
            <w:tcW w:w="3648" w:type="dxa"/>
            <w:vAlign w:val="center"/>
          </w:tcPr>
          <w:p w14:paraId="429AC732" w14:textId="5E1646B4" w:rsidR="0043738B" w:rsidRDefault="00353F5D" w:rsidP="00C47808">
            <w:pPr>
              <w:rPr>
                <w:rFonts w:ascii="Arial" w:hAnsi="Arial" w:cs="Arial"/>
                <w:sz w:val="22"/>
              </w:rPr>
            </w:pPr>
            <w:r>
              <w:rPr>
                <w:rFonts w:ascii="Arial" w:hAnsi="Arial" w:cs="Arial"/>
                <w:sz w:val="22"/>
              </w:rPr>
              <w:t>Original Grantee</w:t>
            </w:r>
            <w:r w:rsidR="0043738B">
              <w:rPr>
                <w:rFonts w:ascii="Arial" w:hAnsi="Arial" w:cs="Arial"/>
                <w:sz w:val="22"/>
              </w:rPr>
              <w:t>:</w:t>
            </w:r>
          </w:p>
        </w:tc>
        <w:tc>
          <w:tcPr>
            <w:tcW w:w="6669" w:type="dxa"/>
            <w:vAlign w:val="center"/>
          </w:tcPr>
          <w:p w14:paraId="46D89F68" w14:textId="77777777" w:rsidR="0043738B" w:rsidRDefault="0043738B" w:rsidP="00C47808">
            <w:pPr>
              <w:rPr>
                <w:rFonts w:ascii="Arial" w:hAnsi="Arial" w:cs="Arial"/>
                <w:sz w:val="22"/>
              </w:rPr>
            </w:pPr>
            <w:r>
              <w:rPr>
                <w:rFonts w:ascii="Arial" w:hAnsi="Arial" w:cs="Arial"/>
                <w:sz w:val="22"/>
              </w:rPr>
              <w:t>Watersheds United Vermont</w:t>
            </w:r>
          </w:p>
        </w:tc>
      </w:tr>
      <w:tr w:rsidR="0043738B" w14:paraId="5B4147AC" w14:textId="77777777" w:rsidTr="00C47808">
        <w:trPr>
          <w:trHeight w:val="350"/>
        </w:trPr>
        <w:tc>
          <w:tcPr>
            <w:tcW w:w="3648" w:type="dxa"/>
            <w:vAlign w:val="center"/>
          </w:tcPr>
          <w:p w14:paraId="5BCF6AE8" w14:textId="77777777" w:rsidR="0043738B" w:rsidRDefault="0043738B" w:rsidP="00C47808">
            <w:pPr>
              <w:rPr>
                <w:rFonts w:ascii="Arial" w:hAnsi="Arial" w:cs="Arial"/>
                <w:sz w:val="22"/>
              </w:rPr>
            </w:pPr>
            <w:r>
              <w:rPr>
                <w:rFonts w:ascii="Arial" w:hAnsi="Arial" w:cs="Arial"/>
                <w:sz w:val="22"/>
              </w:rPr>
              <w:t>Address:</w:t>
            </w:r>
          </w:p>
        </w:tc>
        <w:tc>
          <w:tcPr>
            <w:tcW w:w="6669" w:type="dxa"/>
            <w:vAlign w:val="center"/>
          </w:tcPr>
          <w:p w14:paraId="3F4528F6" w14:textId="77777777" w:rsidR="0043738B" w:rsidRDefault="0043738B" w:rsidP="00C47808">
            <w:pPr>
              <w:rPr>
                <w:rFonts w:ascii="Arial" w:hAnsi="Arial" w:cs="Arial"/>
                <w:sz w:val="22"/>
              </w:rPr>
            </w:pPr>
            <w:r>
              <w:rPr>
                <w:rFonts w:ascii="Arial" w:hAnsi="Arial" w:cs="Arial"/>
                <w:sz w:val="22"/>
              </w:rPr>
              <w:t>379 Elm Street, Montpelier VT 05602</w:t>
            </w:r>
          </w:p>
        </w:tc>
      </w:tr>
      <w:tr w:rsidR="0043738B" w14:paraId="213346B3" w14:textId="77777777" w:rsidTr="00C47808">
        <w:trPr>
          <w:trHeight w:val="350"/>
        </w:trPr>
        <w:tc>
          <w:tcPr>
            <w:tcW w:w="3648" w:type="dxa"/>
            <w:vAlign w:val="center"/>
          </w:tcPr>
          <w:p w14:paraId="7267774F" w14:textId="77777777" w:rsidR="0043738B" w:rsidRDefault="0043738B" w:rsidP="00C47808">
            <w:pPr>
              <w:rPr>
                <w:rFonts w:ascii="Arial" w:hAnsi="Arial" w:cs="Arial"/>
                <w:sz w:val="22"/>
              </w:rPr>
            </w:pPr>
            <w:r>
              <w:rPr>
                <w:rFonts w:ascii="Arial" w:hAnsi="Arial" w:cs="Arial"/>
                <w:sz w:val="22"/>
              </w:rPr>
              <w:t>Phone Number:</w:t>
            </w:r>
          </w:p>
        </w:tc>
        <w:tc>
          <w:tcPr>
            <w:tcW w:w="6669" w:type="dxa"/>
            <w:vAlign w:val="center"/>
          </w:tcPr>
          <w:p w14:paraId="06590C23" w14:textId="77777777" w:rsidR="0043738B" w:rsidRDefault="0043738B" w:rsidP="00C47808">
            <w:pPr>
              <w:rPr>
                <w:rFonts w:ascii="Arial" w:hAnsi="Arial" w:cs="Arial"/>
                <w:sz w:val="22"/>
              </w:rPr>
            </w:pPr>
            <w:r>
              <w:rPr>
                <w:rFonts w:ascii="Arial" w:hAnsi="Arial" w:cs="Arial"/>
                <w:sz w:val="22"/>
              </w:rPr>
              <w:t>(802) 585-3569</w:t>
            </w:r>
          </w:p>
        </w:tc>
      </w:tr>
      <w:tr w:rsidR="0043738B" w14:paraId="05D7B649" w14:textId="77777777" w:rsidTr="00C47808">
        <w:trPr>
          <w:trHeight w:val="350"/>
        </w:trPr>
        <w:tc>
          <w:tcPr>
            <w:tcW w:w="3648" w:type="dxa"/>
            <w:tcBorders>
              <w:bottom w:val="single" w:sz="4" w:space="0" w:color="auto"/>
            </w:tcBorders>
            <w:vAlign w:val="center"/>
          </w:tcPr>
          <w:p w14:paraId="472C0C68" w14:textId="77777777" w:rsidR="0043738B" w:rsidRDefault="0043738B" w:rsidP="00C47808">
            <w:pPr>
              <w:rPr>
                <w:rFonts w:ascii="Arial" w:hAnsi="Arial" w:cs="Arial"/>
                <w:sz w:val="22"/>
              </w:rPr>
            </w:pPr>
            <w:r>
              <w:rPr>
                <w:rFonts w:ascii="Arial" w:hAnsi="Arial" w:cs="Arial"/>
                <w:sz w:val="22"/>
              </w:rPr>
              <w:t>Agreement #:</w:t>
            </w:r>
          </w:p>
        </w:tc>
        <w:tc>
          <w:tcPr>
            <w:tcW w:w="6669" w:type="dxa"/>
            <w:tcBorders>
              <w:bottom w:val="single" w:sz="4" w:space="0" w:color="auto"/>
            </w:tcBorders>
            <w:vAlign w:val="center"/>
          </w:tcPr>
          <w:p w14:paraId="7FE4C147" w14:textId="75A6D1CA" w:rsidR="0043738B" w:rsidRDefault="00331676" w:rsidP="00C47808">
            <w:pPr>
              <w:rPr>
                <w:rFonts w:ascii="Arial" w:hAnsi="Arial" w:cs="Arial"/>
                <w:sz w:val="22"/>
              </w:rPr>
            </w:pPr>
            <w:r w:rsidRPr="00331676">
              <w:rPr>
                <w:rFonts w:ascii="Arial" w:hAnsi="Arial" w:cs="Arial"/>
                <w:sz w:val="22"/>
              </w:rPr>
              <w:t>2022-CWP-DR-01</w:t>
            </w:r>
            <w:bookmarkStart w:id="0" w:name="_GoBack"/>
            <w:bookmarkEnd w:id="0"/>
          </w:p>
        </w:tc>
      </w:tr>
      <w:tr w:rsidR="0043738B" w14:paraId="30B76B96" w14:textId="77777777" w:rsidTr="00C47808">
        <w:trPr>
          <w:trHeight w:val="350"/>
        </w:trPr>
        <w:tc>
          <w:tcPr>
            <w:tcW w:w="3648" w:type="dxa"/>
            <w:tcBorders>
              <w:left w:val="nil"/>
              <w:right w:val="nil"/>
            </w:tcBorders>
            <w:vAlign w:val="center"/>
          </w:tcPr>
          <w:p w14:paraId="3F78BACD" w14:textId="77777777" w:rsidR="0043738B" w:rsidRDefault="0043738B" w:rsidP="00C47808">
            <w:pPr>
              <w:rPr>
                <w:rFonts w:ascii="Arial" w:hAnsi="Arial" w:cs="Arial"/>
                <w:sz w:val="22"/>
              </w:rPr>
            </w:pPr>
          </w:p>
        </w:tc>
        <w:tc>
          <w:tcPr>
            <w:tcW w:w="6669" w:type="dxa"/>
            <w:tcBorders>
              <w:left w:val="nil"/>
              <w:right w:val="nil"/>
            </w:tcBorders>
            <w:vAlign w:val="center"/>
          </w:tcPr>
          <w:p w14:paraId="15A331BA" w14:textId="77777777" w:rsidR="0043738B" w:rsidRDefault="0043738B" w:rsidP="00C47808">
            <w:pPr>
              <w:rPr>
                <w:rFonts w:ascii="Arial" w:hAnsi="Arial" w:cs="Arial"/>
                <w:sz w:val="22"/>
              </w:rPr>
            </w:pPr>
          </w:p>
        </w:tc>
      </w:tr>
      <w:tr w:rsidR="0043738B" w14:paraId="4297BB10" w14:textId="77777777" w:rsidTr="00C47808">
        <w:trPr>
          <w:trHeight w:val="350"/>
        </w:trPr>
        <w:tc>
          <w:tcPr>
            <w:tcW w:w="3648" w:type="dxa"/>
            <w:vAlign w:val="center"/>
          </w:tcPr>
          <w:p w14:paraId="07A72A1E" w14:textId="77777777" w:rsidR="0043738B" w:rsidRDefault="0043738B" w:rsidP="00C47808">
            <w:pPr>
              <w:rPr>
                <w:rFonts w:ascii="Arial" w:hAnsi="Arial" w:cs="Arial"/>
                <w:sz w:val="22"/>
              </w:rPr>
            </w:pPr>
            <w:r>
              <w:rPr>
                <w:rFonts w:ascii="Arial" w:hAnsi="Arial" w:cs="Arial"/>
                <w:sz w:val="22"/>
              </w:rPr>
              <w:t>Subcontractor Name:</w:t>
            </w:r>
          </w:p>
        </w:tc>
        <w:tc>
          <w:tcPr>
            <w:tcW w:w="6669" w:type="dxa"/>
            <w:vAlign w:val="center"/>
          </w:tcPr>
          <w:p w14:paraId="33078575" w14:textId="77777777" w:rsidR="0043738B" w:rsidRDefault="0043738B" w:rsidP="00C47808">
            <w:pPr>
              <w:rPr>
                <w:rFonts w:ascii="Arial" w:hAnsi="Arial" w:cs="Arial"/>
                <w:sz w:val="22"/>
              </w:rPr>
            </w:pPr>
          </w:p>
        </w:tc>
      </w:tr>
      <w:tr w:rsidR="0043738B" w14:paraId="6C7CC134" w14:textId="77777777" w:rsidTr="00C47808">
        <w:trPr>
          <w:trHeight w:val="350"/>
        </w:trPr>
        <w:tc>
          <w:tcPr>
            <w:tcW w:w="3648" w:type="dxa"/>
            <w:vAlign w:val="center"/>
          </w:tcPr>
          <w:p w14:paraId="51F01B52" w14:textId="77777777" w:rsidR="0043738B" w:rsidRDefault="0043738B" w:rsidP="00C47808">
            <w:pPr>
              <w:rPr>
                <w:rFonts w:ascii="Arial" w:hAnsi="Arial" w:cs="Arial"/>
                <w:sz w:val="22"/>
              </w:rPr>
            </w:pPr>
            <w:r>
              <w:rPr>
                <w:rFonts w:ascii="Arial" w:hAnsi="Arial" w:cs="Arial"/>
                <w:sz w:val="22"/>
              </w:rPr>
              <w:t>Address:</w:t>
            </w:r>
          </w:p>
        </w:tc>
        <w:tc>
          <w:tcPr>
            <w:tcW w:w="6669" w:type="dxa"/>
            <w:vAlign w:val="center"/>
          </w:tcPr>
          <w:p w14:paraId="0354EFB6" w14:textId="77777777" w:rsidR="0043738B" w:rsidRDefault="0043738B" w:rsidP="00C47808">
            <w:pPr>
              <w:rPr>
                <w:rFonts w:ascii="Arial" w:hAnsi="Arial" w:cs="Arial"/>
                <w:sz w:val="22"/>
              </w:rPr>
            </w:pPr>
          </w:p>
        </w:tc>
      </w:tr>
      <w:tr w:rsidR="0043738B" w14:paraId="43E1B3EB" w14:textId="77777777" w:rsidTr="00C47808">
        <w:trPr>
          <w:trHeight w:val="350"/>
        </w:trPr>
        <w:tc>
          <w:tcPr>
            <w:tcW w:w="3648" w:type="dxa"/>
            <w:vAlign w:val="center"/>
          </w:tcPr>
          <w:p w14:paraId="090CC88E" w14:textId="77777777" w:rsidR="0043738B" w:rsidRDefault="0043738B" w:rsidP="00C47808">
            <w:pPr>
              <w:rPr>
                <w:rFonts w:ascii="Arial" w:hAnsi="Arial" w:cs="Arial"/>
                <w:sz w:val="22"/>
              </w:rPr>
            </w:pPr>
            <w:r>
              <w:rPr>
                <w:rFonts w:ascii="Arial" w:hAnsi="Arial" w:cs="Arial"/>
                <w:sz w:val="22"/>
              </w:rPr>
              <w:t>Phone Number:</w:t>
            </w:r>
          </w:p>
        </w:tc>
        <w:tc>
          <w:tcPr>
            <w:tcW w:w="6669" w:type="dxa"/>
            <w:vAlign w:val="center"/>
          </w:tcPr>
          <w:p w14:paraId="4A769FEA" w14:textId="77777777" w:rsidR="0043738B" w:rsidRDefault="0043738B" w:rsidP="00C47808">
            <w:pPr>
              <w:rPr>
                <w:rFonts w:ascii="Arial" w:hAnsi="Arial" w:cs="Arial"/>
                <w:sz w:val="22"/>
              </w:rPr>
            </w:pPr>
          </w:p>
        </w:tc>
      </w:tr>
      <w:tr w:rsidR="0043738B" w14:paraId="7A678942" w14:textId="77777777" w:rsidTr="00C47808">
        <w:trPr>
          <w:trHeight w:val="350"/>
        </w:trPr>
        <w:tc>
          <w:tcPr>
            <w:tcW w:w="3648" w:type="dxa"/>
            <w:vAlign w:val="center"/>
          </w:tcPr>
          <w:p w14:paraId="44C00507" w14:textId="77777777" w:rsidR="0043738B" w:rsidRDefault="0043738B" w:rsidP="00C47808">
            <w:pPr>
              <w:rPr>
                <w:rFonts w:ascii="Arial" w:hAnsi="Arial" w:cs="Arial"/>
                <w:sz w:val="22"/>
              </w:rPr>
            </w:pPr>
            <w:r>
              <w:rPr>
                <w:rFonts w:ascii="Arial" w:hAnsi="Arial" w:cs="Arial"/>
                <w:sz w:val="22"/>
              </w:rPr>
              <w:t>Contact Person:</w:t>
            </w:r>
          </w:p>
        </w:tc>
        <w:tc>
          <w:tcPr>
            <w:tcW w:w="6669" w:type="dxa"/>
            <w:vAlign w:val="center"/>
          </w:tcPr>
          <w:p w14:paraId="158DC266" w14:textId="77777777" w:rsidR="0043738B" w:rsidRDefault="0043738B" w:rsidP="00C47808">
            <w:pPr>
              <w:rPr>
                <w:rFonts w:ascii="Arial" w:hAnsi="Arial" w:cs="Arial"/>
                <w:sz w:val="22"/>
              </w:rPr>
            </w:pPr>
          </w:p>
        </w:tc>
      </w:tr>
      <w:tr w:rsidR="0043738B" w14:paraId="7D91FDD8" w14:textId="77777777" w:rsidTr="00C47808">
        <w:trPr>
          <w:trHeight w:val="1476"/>
        </w:trPr>
        <w:tc>
          <w:tcPr>
            <w:tcW w:w="3648" w:type="dxa"/>
            <w:vAlign w:val="center"/>
          </w:tcPr>
          <w:p w14:paraId="7109B0BE" w14:textId="77777777" w:rsidR="0043738B" w:rsidRDefault="0043738B" w:rsidP="00C47808">
            <w:pPr>
              <w:rPr>
                <w:rFonts w:ascii="Arial" w:hAnsi="Arial" w:cs="Arial"/>
                <w:sz w:val="22"/>
              </w:rPr>
            </w:pPr>
            <w:r>
              <w:rPr>
                <w:rFonts w:ascii="Arial" w:hAnsi="Arial" w:cs="Arial"/>
                <w:sz w:val="22"/>
              </w:rPr>
              <w:t>Scope of</w:t>
            </w:r>
          </w:p>
          <w:p w14:paraId="1BCE6E53" w14:textId="77777777" w:rsidR="0043738B" w:rsidRDefault="0043738B" w:rsidP="00C47808">
            <w:pPr>
              <w:rPr>
                <w:rFonts w:ascii="Arial" w:hAnsi="Arial" w:cs="Arial"/>
                <w:sz w:val="22"/>
              </w:rPr>
            </w:pPr>
            <w:r>
              <w:rPr>
                <w:rFonts w:ascii="Arial" w:hAnsi="Arial" w:cs="Arial"/>
                <w:sz w:val="22"/>
              </w:rPr>
              <w:t>Services:</w:t>
            </w:r>
          </w:p>
        </w:tc>
        <w:tc>
          <w:tcPr>
            <w:tcW w:w="6669" w:type="dxa"/>
            <w:vAlign w:val="center"/>
          </w:tcPr>
          <w:p w14:paraId="596B1F06" w14:textId="77777777" w:rsidR="0043738B" w:rsidRDefault="0043738B" w:rsidP="00C47808">
            <w:pPr>
              <w:rPr>
                <w:rFonts w:ascii="Arial" w:hAnsi="Arial" w:cs="Arial"/>
                <w:sz w:val="22"/>
              </w:rPr>
            </w:pPr>
          </w:p>
        </w:tc>
      </w:tr>
      <w:tr w:rsidR="0043738B" w14:paraId="31F37494" w14:textId="77777777" w:rsidTr="00C47808">
        <w:trPr>
          <w:trHeight w:val="395"/>
        </w:trPr>
        <w:tc>
          <w:tcPr>
            <w:tcW w:w="3648" w:type="dxa"/>
            <w:tcBorders>
              <w:bottom w:val="single" w:sz="4" w:space="0" w:color="auto"/>
            </w:tcBorders>
            <w:vAlign w:val="center"/>
          </w:tcPr>
          <w:p w14:paraId="64C45169" w14:textId="31EE247B" w:rsidR="0043738B" w:rsidRDefault="00353F5D" w:rsidP="00C47808">
            <w:pPr>
              <w:rPr>
                <w:rFonts w:ascii="Arial" w:hAnsi="Arial" w:cs="Arial"/>
                <w:sz w:val="22"/>
              </w:rPr>
            </w:pPr>
            <w:r>
              <w:rPr>
                <w:rFonts w:ascii="Arial" w:hAnsi="Arial" w:cs="Arial"/>
                <w:sz w:val="22"/>
              </w:rPr>
              <w:t>Maximum Amount:</w:t>
            </w:r>
          </w:p>
        </w:tc>
        <w:tc>
          <w:tcPr>
            <w:tcW w:w="6669" w:type="dxa"/>
            <w:tcBorders>
              <w:bottom w:val="single" w:sz="4" w:space="0" w:color="auto"/>
            </w:tcBorders>
            <w:vAlign w:val="center"/>
          </w:tcPr>
          <w:p w14:paraId="5A74126B" w14:textId="77777777" w:rsidR="0043738B" w:rsidRDefault="0043738B" w:rsidP="00C47808">
            <w:pPr>
              <w:rPr>
                <w:rFonts w:ascii="Arial" w:hAnsi="Arial" w:cs="Arial"/>
                <w:sz w:val="22"/>
              </w:rPr>
            </w:pPr>
            <w:r>
              <w:rPr>
                <w:rFonts w:ascii="Arial" w:hAnsi="Arial" w:cs="Arial"/>
                <w:sz w:val="22"/>
              </w:rPr>
              <w:t>$</w:t>
            </w:r>
          </w:p>
        </w:tc>
      </w:tr>
      <w:tr w:rsidR="0043738B" w14:paraId="792B7071" w14:textId="77777777" w:rsidTr="00C47808">
        <w:trPr>
          <w:trHeight w:val="215"/>
        </w:trPr>
        <w:tc>
          <w:tcPr>
            <w:tcW w:w="3648" w:type="dxa"/>
            <w:tcBorders>
              <w:left w:val="nil"/>
              <w:right w:val="nil"/>
            </w:tcBorders>
            <w:vAlign w:val="center"/>
          </w:tcPr>
          <w:p w14:paraId="63CC2635" w14:textId="77777777" w:rsidR="0043738B" w:rsidRDefault="0043738B" w:rsidP="00C47808">
            <w:pPr>
              <w:pStyle w:val="Heading1"/>
              <w:rPr>
                <w:sz w:val="22"/>
              </w:rPr>
            </w:pPr>
          </w:p>
        </w:tc>
        <w:tc>
          <w:tcPr>
            <w:tcW w:w="6669" w:type="dxa"/>
            <w:tcBorders>
              <w:left w:val="nil"/>
              <w:right w:val="nil"/>
            </w:tcBorders>
            <w:vAlign w:val="center"/>
          </w:tcPr>
          <w:p w14:paraId="29E2B44B" w14:textId="77777777" w:rsidR="0043738B" w:rsidRDefault="0043738B" w:rsidP="00C47808">
            <w:pPr>
              <w:rPr>
                <w:rFonts w:ascii="Arial" w:hAnsi="Arial" w:cs="Arial"/>
                <w:sz w:val="22"/>
              </w:rPr>
            </w:pPr>
          </w:p>
        </w:tc>
      </w:tr>
      <w:tr w:rsidR="0043738B" w14:paraId="5BE22F43" w14:textId="77777777" w:rsidTr="00C47808">
        <w:trPr>
          <w:trHeight w:val="684"/>
        </w:trPr>
        <w:tc>
          <w:tcPr>
            <w:tcW w:w="3648" w:type="dxa"/>
            <w:vAlign w:val="center"/>
          </w:tcPr>
          <w:p w14:paraId="12859F08" w14:textId="773BB287" w:rsidR="0043738B" w:rsidRDefault="00353F5D" w:rsidP="00353F5D">
            <w:pPr>
              <w:pStyle w:val="Heading1"/>
              <w:rPr>
                <w:sz w:val="22"/>
              </w:rPr>
            </w:pPr>
            <w:r>
              <w:rPr>
                <w:sz w:val="22"/>
              </w:rPr>
              <w:t>Subcontractor</w:t>
            </w:r>
            <w:r w:rsidR="0043738B">
              <w:rPr>
                <w:sz w:val="22"/>
              </w:rPr>
              <w:t xml:space="preserve"> Signature:</w:t>
            </w:r>
          </w:p>
        </w:tc>
        <w:tc>
          <w:tcPr>
            <w:tcW w:w="6669" w:type="dxa"/>
            <w:vAlign w:val="center"/>
          </w:tcPr>
          <w:p w14:paraId="2B32B2AD" w14:textId="77777777" w:rsidR="0043738B" w:rsidRDefault="0043738B" w:rsidP="00C47808">
            <w:pPr>
              <w:rPr>
                <w:rFonts w:ascii="Arial" w:hAnsi="Arial" w:cs="Arial"/>
                <w:sz w:val="22"/>
              </w:rPr>
            </w:pPr>
          </w:p>
          <w:p w14:paraId="52FD563C" w14:textId="77777777" w:rsidR="0043738B" w:rsidRDefault="0043738B" w:rsidP="00C47808">
            <w:pPr>
              <w:rPr>
                <w:rFonts w:ascii="Arial" w:hAnsi="Arial" w:cs="Arial"/>
                <w:sz w:val="22"/>
              </w:rPr>
            </w:pPr>
          </w:p>
        </w:tc>
      </w:tr>
      <w:tr w:rsidR="0043738B" w14:paraId="09FF5777" w14:textId="77777777" w:rsidTr="00C47808">
        <w:trPr>
          <w:trHeight w:val="432"/>
        </w:trPr>
        <w:tc>
          <w:tcPr>
            <w:tcW w:w="10317" w:type="dxa"/>
            <w:gridSpan w:val="2"/>
            <w:tcBorders>
              <w:bottom w:val="single" w:sz="4" w:space="0" w:color="auto"/>
            </w:tcBorders>
            <w:vAlign w:val="center"/>
          </w:tcPr>
          <w:p w14:paraId="0F3BF3A9" w14:textId="54D7B77C" w:rsidR="0043738B" w:rsidRDefault="00353F5D" w:rsidP="00C47808">
            <w:pPr>
              <w:rPr>
                <w:rFonts w:ascii="Arial" w:hAnsi="Arial" w:cs="Arial"/>
                <w:sz w:val="22"/>
              </w:rPr>
            </w:pPr>
            <w:r>
              <w:rPr>
                <w:rFonts w:ascii="Arial" w:hAnsi="Arial" w:cs="Arial"/>
                <w:sz w:val="22"/>
              </w:rPr>
              <w:t>By signing above, the sub-grantee/c</w:t>
            </w:r>
            <w:r w:rsidR="0043738B">
              <w:rPr>
                <w:rFonts w:ascii="Arial" w:hAnsi="Arial" w:cs="Arial"/>
                <w:sz w:val="22"/>
              </w:rPr>
              <w:t>ontractor certifies that the subcontractor has been selected using their procurement policy, as required by the original agreeme</w:t>
            </w:r>
            <w:r w:rsidR="003F2634">
              <w:rPr>
                <w:rFonts w:ascii="Arial" w:hAnsi="Arial" w:cs="Arial"/>
                <w:sz w:val="22"/>
              </w:rPr>
              <w:t>nt.</w:t>
            </w:r>
          </w:p>
        </w:tc>
      </w:tr>
    </w:tbl>
    <w:p w14:paraId="23CB2522" w14:textId="77777777" w:rsidR="0043738B" w:rsidRDefault="0043738B" w:rsidP="0043738B">
      <w:pPr>
        <w:rPr>
          <w:rFonts w:ascii="Arial" w:hAnsi="Arial" w:cs="Arial"/>
          <w:sz w:val="22"/>
        </w:rPr>
      </w:pPr>
    </w:p>
    <w:p w14:paraId="435C45F8" w14:textId="77777777" w:rsidR="0043738B" w:rsidRDefault="0043738B" w:rsidP="0043738B">
      <w:pPr>
        <w:rPr>
          <w:rFonts w:ascii="Arial" w:hAnsi="Arial" w:cs="Arial"/>
          <w:sz w:val="22"/>
        </w:rPr>
      </w:pPr>
    </w:p>
    <w:p w14:paraId="5B9A447A" w14:textId="030D3472" w:rsidR="0043738B" w:rsidRDefault="0043738B" w:rsidP="0043738B">
      <w:pPr>
        <w:rPr>
          <w:rFonts w:ascii="Arial" w:hAnsi="Arial" w:cs="Arial"/>
          <w:sz w:val="22"/>
        </w:rPr>
      </w:pPr>
    </w:p>
    <w:tbl>
      <w:tblPr>
        <w:tblStyle w:val="TableGrid"/>
        <w:tblW w:w="0" w:type="auto"/>
        <w:tblLook w:val="04A0" w:firstRow="1" w:lastRow="0" w:firstColumn="1" w:lastColumn="0" w:noHBand="0" w:noVBand="1"/>
      </w:tblPr>
      <w:tblGrid>
        <w:gridCol w:w="6835"/>
        <w:gridCol w:w="2515"/>
      </w:tblGrid>
      <w:tr w:rsidR="00353F5D" w14:paraId="2B142CDF" w14:textId="77777777" w:rsidTr="00E815CC">
        <w:tc>
          <w:tcPr>
            <w:tcW w:w="6835" w:type="dxa"/>
            <w:shd w:val="clear" w:color="auto" w:fill="auto"/>
          </w:tcPr>
          <w:p w14:paraId="209B72D3" w14:textId="3F4F10FA" w:rsidR="00353F5D" w:rsidRPr="00E815CC" w:rsidRDefault="00E815CC" w:rsidP="0043738B">
            <w:pPr>
              <w:rPr>
                <w:rFonts w:ascii="Arial" w:hAnsi="Arial" w:cs="Arial"/>
                <w:b/>
                <w:sz w:val="22"/>
              </w:rPr>
            </w:pPr>
            <w:r w:rsidRPr="00E815CC">
              <w:rPr>
                <w:rFonts w:ascii="Arial" w:hAnsi="Arial" w:cs="Arial"/>
                <w:b/>
                <w:sz w:val="22"/>
              </w:rPr>
              <w:t xml:space="preserve">Watersheds United Vermont </w:t>
            </w:r>
            <w:r w:rsidR="00353F5D" w:rsidRPr="00E815CC">
              <w:rPr>
                <w:rFonts w:ascii="Arial" w:hAnsi="Arial" w:cs="Arial"/>
                <w:b/>
                <w:sz w:val="22"/>
              </w:rPr>
              <w:t>Signature:</w:t>
            </w:r>
          </w:p>
        </w:tc>
        <w:tc>
          <w:tcPr>
            <w:tcW w:w="2515" w:type="dxa"/>
          </w:tcPr>
          <w:p w14:paraId="1A00C863" w14:textId="2F8E14B9" w:rsidR="00353F5D" w:rsidRDefault="00353F5D" w:rsidP="0043738B">
            <w:pPr>
              <w:rPr>
                <w:rFonts w:ascii="Arial" w:hAnsi="Arial" w:cs="Arial"/>
                <w:sz w:val="22"/>
              </w:rPr>
            </w:pPr>
            <w:r>
              <w:rPr>
                <w:rFonts w:ascii="Arial" w:hAnsi="Arial" w:cs="Arial"/>
                <w:sz w:val="22"/>
              </w:rPr>
              <w:t>Date:</w:t>
            </w:r>
          </w:p>
        </w:tc>
      </w:tr>
      <w:tr w:rsidR="00353F5D" w14:paraId="62B79044" w14:textId="77777777" w:rsidTr="00E815CC">
        <w:tc>
          <w:tcPr>
            <w:tcW w:w="9350" w:type="dxa"/>
            <w:gridSpan w:val="2"/>
            <w:shd w:val="clear" w:color="auto" w:fill="auto"/>
            <w:vAlign w:val="center"/>
          </w:tcPr>
          <w:p w14:paraId="400A359D" w14:textId="0552D18A" w:rsidR="00353F5D" w:rsidRPr="00E815CC" w:rsidRDefault="00353F5D" w:rsidP="00353F5D">
            <w:pPr>
              <w:rPr>
                <w:rFonts w:ascii="Arial" w:hAnsi="Arial" w:cs="Arial"/>
                <w:sz w:val="22"/>
              </w:rPr>
            </w:pPr>
            <w:r w:rsidRPr="00E815CC">
              <w:rPr>
                <w:rFonts w:ascii="Arial" w:hAnsi="Arial" w:cs="Arial"/>
                <w:sz w:val="22"/>
              </w:rPr>
              <w:t>By signing above, Watersheds United Vermont certifies that they have performed</w:t>
            </w:r>
            <w:r w:rsidR="00E815CC" w:rsidRPr="00E815CC">
              <w:rPr>
                <w:rFonts w:ascii="Arial" w:hAnsi="Arial" w:cs="Arial"/>
                <w:sz w:val="22"/>
              </w:rPr>
              <w:t xml:space="preserve"> the required</w:t>
            </w:r>
            <w:r w:rsidRPr="00E815CC">
              <w:rPr>
                <w:rFonts w:ascii="Arial" w:hAnsi="Arial" w:cs="Arial"/>
                <w:sz w:val="22"/>
              </w:rPr>
              <w:t xml:space="preserve"> </w:t>
            </w:r>
            <w:r w:rsidRPr="00E815CC">
              <w:rPr>
                <w:rFonts w:ascii="Arial" w:hAnsi="Arial" w:cs="Arial"/>
                <w:color w:val="222222"/>
                <w:sz w:val="22"/>
                <w:szCs w:val="22"/>
                <w:shd w:val="clear" w:color="auto" w:fill="FFFFFF"/>
              </w:rPr>
              <w:t>debarment checks following the</w:t>
            </w:r>
            <w:r w:rsidR="00E815CC">
              <w:rPr>
                <w:rFonts w:ascii="Arial" w:hAnsi="Arial" w:cs="Arial"/>
                <w:color w:val="222222"/>
                <w:sz w:val="22"/>
                <w:szCs w:val="22"/>
                <w:shd w:val="clear" w:color="auto" w:fill="FFFFFF"/>
              </w:rPr>
              <w:t xml:space="preserve"> standard operating procedures provided by the Vermont Department of Conservation.</w:t>
            </w:r>
          </w:p>
        </w:tc>
      </w:tr>
    </w:tbl>
    <w:p w14:paraId="4841E6CB" w14:textId="082B7530" w:rsidR="0043738B" w:rsidRDefault="0043738B" w:rsidP="0043738B">
      <w:pPr>
        <w:rPr>
          <w:rFonts w:ascii="Arial" w:hAnsi="Arial" w:cs="Arial"/>
          <w:sz w:val="22"/>
        </w:rPr>
      </w:pPr>
    </w:p>
    <w:p w14:paraId="063B6C5C" w14:textId="77777777" w:rsidR="00353F5D" w:rsidRDefault="00353F5D" w:rsidP="0043738B">
      <w:pPr>
        <w:rPr>
          <w:rFonts w:ascii="Arial" w:hAnsi="Arial" w:cs="Arial"/>
          <w:sz w:val="22"/>
        </w:rPr>
      </w:pPr>
    </w:p>
    <w:p w14:paraId="7ABEFF69" w14:textId="18620101" w:rsidR="0043738B" w:rsidRDefault="0043738B" w:rsidP="0043738B">
      <w:pPr>
        <w:rPr>
          <w:rFonts w:ascii="Arial" w:hAnsi="Arial" w:cs="Arial"/>
          <w:sz w:val="22"/>
        </w:rPr>
      </w:pPr>
    </w:p>
    <w:p w14:paraId="0C596917" w14:textId="77777777" w:rsidR="0043738B" w:rsidRDefault="0043738B" w:rsidP="0043738B">
      <w:pPr>
        <w:pStyle w:val="Heading2"/>
        <w:jc w:val="center"/>
        <w:rPr>
          <w:rFonts w:ascii="Arial" w:hAnsi="Arial" w:cs="Arial"/>
          <w:sz w:val="22"/>
        </w:rPr>
      </w:pPr>
      <w:r>
        <w:rPr>
          <w:rFonts w:ascii="Arial" w:hAnsi="Arial" w:cs="Arial"/>
          <w:sz w:val="22"/>
        </w:rPr>
        <w:t>On the reverse side of this form there is guidance about language that must be included by the contractor in subcontracting agreements.</w:t>
      </w:r>
    </w:p>
    <w:p w14:paraId="5D215A44" w14:textId="217B4BC9" w:rsidR="004C4CFE" w:rsidRDefault="004C4CFE">
      <w:pPr>
        <w:rPr>
          <w:rFonts w:ascii="Arial" w:hAnsi="Arial" w:cs="Arial"/>
          <w:b/>
          <w:bCs/>
          <w:i/>
          <w:iCs/>
          <w:sz w:val="22"/>
          <w:szCs w:val="28"/>
        </w:rPr>
      </w:pPr>
    </w:p>
    <w:p w14:paraId="12172222" w14:textId="1C852A1A" w:rsidR="008F43CB" w:rsidRDefault="008F43CB">
      <w:pPr>
        <w:rPr>
          <w:rFonts w:ascii="Arial" w:hAnsi="Arial" w:cs="Arial"/>
          <w:b/>
          <w:bCs/>
          <w:i/>
          <w:iCs/>
          <w:sz w:val="22"/>
          <w:szCs w:val="28"/>
        </w:rPr>
      </w:pPr>
    </w:p>
    <w:p w14:paraId="3BACE051" w14:textId="72265818" w:rsidR="008F43CB" w:rsidRDefault="008F43CB">
      <w:pPr>
        <w:spacing w:after="160" w:line="259" w:lineRule="auto"/>
        <w:rPr>
          <w:rFonts w:ascii="Arial" w:hAnsi="Arial" w:cs="Arial"/>
          <w:b/>
          <w:bCs/>
          <w:i/>
          <w:iCs/>
          <w:sz w:val="22"/>
          <w:szCs w:val="28"/>
        </w:rPr>
      </w:pPr>
      <w:r>
        <w:rPr>
          <w:rFonts w:ascii="Arial" w:hAnsi="Arial" w:cs="Arial"/>
          <w:b/>
          <w:bCs/>
          <w:i/>
          <w:iCs/>
          <w:sz w:val="22"/>
          <w:szCs w:val="28"/>
        </w:rPr>
        <w:br w:type="page"/>
      </w:r>
    </w:p>
    <w:p w14:paraId="799070E1" w14:textId="77777777" w:rsidR="008F43CB" w:rsidRPr="003A71F7" w:rsidRDefault="008F43CB" w:rsidP="008F43CB">
      <w:pPr>
        <w:rPr>
          <w:u w:val="single"/>
        </w:rPr>
      </w:pPr>
      <w:r w:rsidRPr="003A71F7">
        <w:rPr>
          <w:u w:val="single"/>
        </w:rPr>
        <w:lastRenderedPageBreak/>
        <w:t>DEC Standard State Provisions for Contracts and Grants as required for Subrecipients</w:t>
      </w:r>
    </w:p>
    <w:p w14:paraId="35476FCF" w14:textId="2EB1A35E" w:rsidR="008F43CB" w:rsidRDefault="008F43CB" w:rsidP="008F43CB">
      <w:r w:rsidRPr="003A71F7">
        <w:t xml:space="preserve">Your organization must abide by all of the following sections from the Standard State Provisions for Contracts and Grants. </w:t>
      </w:r>
      <w:r w:rsidRPr="00370C19">
        <w:rPr>
          <w:b/>
        </w:rPr>
        <w:t>Your organization must also include this language in all subcontracts that you enter under this grant.</w:t>
      </w:r>
      <w:r w:rsidRPr="003A71F7">
        <w:t xml:space="preserve"> You shall not assign, subcontract or subgrant the performance of this Agreement or any portion thereof to any other Party without the prior written approval of the State. You must receive a subcontract approval form for any and all subcontracts. Your organization shall be responsible and liable to the State for all acts or omissions of subcontractors and any other person performing work under this Agreement pursuant to an agreement with Party or any subcontractor.</w:t>
      </w:r>
    </w:p>
    <w:p w14:paraId="6FD50E69" w14:textId="77777777" w:rsidR="008F43CB" w:rsidRPr="003A71F7" w:rsidRDefault="008F43CB" w:rsidP="008F43CB">
      <w:pPr>
        <w:rPr>
          <w:u w:val="single"/>
        </w:rPr>
      </w:pPr>
    </w:p>
    <w:p w14:paraId="10992CA6" w14:textId="77777777" w:rsidR="008F43CB" w:rsidRPr="003A71F7" w:rsidRDefault="008F43CB" w:rsidP="008F43CB">
      <w:pPr>
        <w:widowControl w:val="0"/>
        <w:numPr>
          <w:ilvl w:val="0"/>
          <w:numId w:val="2"/>
        </w:numPr>
        <w:pBdr>
          <w:top w:val="nil"/>
          <w:left w:val="nil"/>
          <w:bottom w:val="nil"/>
          <w:right w:val="nil"/>
          <w:between w:val="nil"/>
        </w:pBdr>
        <w:tabs>
          <w:tab w:val="left" w:pos="498"/>
        </w:tabs>
        <w:jc w:val="both"/>
        <w:rPr>
          <w:rFonts w:ascii="Cambria" w:eastAsia="Cambria" w:hAnsi="Cambria" w:cs="Cambria"/>
          <w:color w:val="000000"/>
        </w:rPr>
      </w:pPr>
      <w:r w:rsidRPr="003A71F7">
        <w:rPr>
          <w:rFonts w:ascii="Cambria" w:eastAsia="Cambria" w:hAnsi="Cambria" w:cs="Cambria"/>
          <w:b/>
          <w:color w:val="000000"/>
        </w:rPr>
        <w:t xml:space="preserve">False Claims Act: </w:t>
      </w:r>
      <w:r w:rsidRPr="003A71F7">
        <w:rPr>
          <w:rFonts w:ascii="Cambria" w:eastAsia="Cambria" w:hAnsi="Cambria" w:cs="Cambria"/>
          <w:color w:val="000000"/>
        </w:rPr>
        <w:t>The Party acknowledges that it is subject to the Vermont False Claims Act as set forth in 32</w:t>
      </w:r>
    </w:p>
    <w:p w14:paraId="5F52849D" w14:textId="77777777" w:rsidR="008F43CB" w:rsidRPr="003A71F7" w:rsidRDefault="008F43CB" w:rsidP="008F43CB">
      <w:pPr>
        <w:pBdr>
          <w:top w:val="nil"/>
          <w:left w:val="nil"/>
          <w:bottom w:val="nil"/>
          <w:right w:val="nil"/>
          <w:between w:val="nil"/>
        </w:pBdr>
        <w:spacing w:after="120"/>
        <w:ind w:left="140" w:right="760"/>
        <w:jc w:val="both"/>
        <w:rPr>
          <w:color w:val="000000"/>
        </w:rPr>
      </w:pPr>
      <w:r w:rsidRPr="003A71F7">
        <w:rPr>
          <w:color w:val="000000"/>
        </w:rPr>
        <w:t xml:space="preserve">V.S.A. § 630 </w:t>
      </w:r>
      <w:r w:rsidRPr="003A71F7">
        <w:rPr>
          <w:i/>
          <w:color w:val="000000"/>
        </w:rPr>
        <w:t xml:space="preserve">et seq. </w:t>
      </w:r>
      <w:r w:rsidRPr="003A71F7">
        <w:rPr>
          <w:color w:val="000000"/>
        </w:rPr>
        <w:t>If the Party violates the Vermont False Claims Act it shall be liable to the State for civil penalties, treble damages and the costs of the investigation and prosecution of such violation, including attorney’s fees, except as the same may be reduced by a court of competent jurisdiction. The Party’s liability to the State under the False Claims Act shall not be limited notwithstanding any agreement of the State to otherwise limit Party’s liability.</w:t>
      </w:r>
    </w:p>
    <w:p w14:paraId="7BB67098" w14:textId="77777777" w:rsidR="008F43CB" w:rsidRPr="003A71F7" w:rsidRDefault="008F43CB" w:rsidP="008F43CB">
      <w:pPr>
        <w:pBdr>
          <w:top w:val="nil"/>
          <w:left w:val="nil"/>
          <w:bottom w:val="nil"/>
          <w:right w:val="nil"/>
          <w:between w:val="nil"/>
        </w:pBdr>
        <w:spacing w:after="120"/>
        <w:ind w:left="140" w:right="760"/>
        <w:jc w:val="both"/>
        <w:rPr>
          <w:color w:val="000000"/>
        </w:rPr>
      </w:pPr>
    </w:p>
    <w:p w14:paraId="210A7733" w14:textId="77777777" w:rsidR="008F43CB" w:rsidRPr="003A71F7" w:rsidRDefault="008F43CB" w:rsidP="008F43CB">
      <w:pPr>
        <w:widowControl w:val="0"/>
        <w:numPr>
          <w:ilvl w:val="0"/>
          <w:numId w:val="2"/>
        </w:numPr>
        <w:pBdr>
          <w:top w:val="nil"/>
          <w:left w:val="nil"/>
          <w:bottom w:val="nil"/>
          <w:right w:val="nil"/>
          <w:between w:val="nil"/>
        </w:pBdr>
        <w:ind w:right="760"/>
        <w:jc w:val="both"/>
        <w:rPr>
          <w:color w:val="000000"/>
        </w:rPr>
      </w:pPr>
      <w:r w:rsidRPr="003A71F7">
        <w:rPr>
          <w:b/>
          <w:color w:val="000000"/>
        </w:rPr>
        <w:t xml:space="preserve">Whistleblower Protections: </w:t>
      </w:r>
      <w:r w:rsidRPr="003A71F7">
        <w:rPr>
          <w:color w:val="000000"/>
        </w:rPr>
        <w:t>The Party shall not discriminate or retaliate against one of its employees or agents for disclosing information concerning a violation of law, fraud, waste, abuse of authority or acts threatening health or safety, including but not limited to allegations concerning the False Claims Act. Further, the Party shall not require such employees or agents to forego monetary awards as a result of such disclosures, nor should they be required to report misconduct to the Party or its agents prior to reporting to any governmental entity and/or the public.</w:t>
      </w:r>
    </w:p>
    <w:p w14:paraId="298B9C4C" w14:textId="77777777" w:rsidR="008F43CB" w:rsidRPr="003A71F7" w:rsidRDefault="008F43CB" w:rsidP="008F43CB">
      <w:pPr>
        <w:pBdr>
          <w:top w:val="nil"/>
          <w:left w:val="nil"/>
          <w:bottom w:val="nil"/>
          <w:right w:val="nil"/>
          <w:between w:val="nil"/>
        </w:pBdr>
        <w:spacing w:after="120"/>
        <w:ind w:left="276" w:right="760"/>
        <w:jc w:val="both"/>
        <w:rPr>
          <w:color w:val="000000"/>
        </w:rPr>
      </w:pPr>
      <w:r w:rsidRPr="003A71F7">
        <w:rPr>
          <w:color w:val="000000"/>
        </w:rPr>
        <w:t xml:space="preserve"> </w:t>
      </w:r>
    </w:p>
    <w:p w14:paraId="6BF7CEFF" w14:textId="77777777" w:rsidR="008F43CB" w:rsidRPr="003A71F7" w:rsidRDefault="008F43CB" w:rsidP="008F43CB">
      <w:pPr>
        <w:numPr>
          <w:ilvl w:val="0"/>
          <w:numId w:val="2"/>
        </w:numPr>
        <w:pBdr>
          <w:top w:val="nil"/>
          <w:left w:val="nil"/>
          <w:bottom w:val="nil"/>
          <w:right w:val="nil"/>
          <w:between w:val="nil"/>
        </w:pBdr>
        <w:rPr>
          <w:color w:val="000000"/>
        </w:rPr>
      </w:pPr>
      <w:r w:rsidRPr="003A71F7">
        <w:rPr>
          <w:b/>
          <w:color w:val="000000"/>
        </w:rPr>
        <w:t xml:space="preserve">Location of State Data: </w:t>
      </w:r>
      <w:r w:rsidRPr="003A71F7">
        <w:rPr>
          <w:color w:val="000000"/>
        </w:rPr>
        <w:t xml:space="preserve">No State data received, obtained, or generated by the Party in connection with performance under this Agreement shall be processed, transmitted, stored, or transferred by any means outside the continental United States, except with the express written permission of the State. </w:t>
      </w:r>
    </w:p>
    <w:p w14:paraId="1CCD001B" w14:textId="77777777" w:rsidR="008F43CB" w:rsidRPr="003A71F7" w:rsidRDefault="008F43CB" w:rsidP="008F43CB">
      <w:pPr>
        <w:pBdr>
          <w:top w:val="nil"/>
          <w:left w:val="nil"/>
          <w:bottom w:val="nil"/>
          <w:right w:val="nil"/>
          <w:between w:val="nil"/>
        </w:pBdr>
        <w:ind w:left="720"/>
        <w:rPr>
          <w:color w:val="000000"/>
        </w:rPr>
      </w:pPr>
    </w:p>
    <w:p w14:paraId="7F89BBD6" w14:textId="77777777" w:rsidR="008F43CB" w:rsidRPr="003A71F7" w:rsidRDefault="008F43CB" w:rsidP="008F43CB">
      <w:pPr>
        <w:numPr>
          <w:ilvl w:val="0"/>
          <w:numId w:val="2"/>
        </w:numPr>
        <w:pBdr>
          <w:top w:val="nil"/>
          <w:left w:val="nil"/>
          <w:bottom w:val="nil"/>
          <w:right w:val="nil"/>
          <w:between w:val="nil"/>
        </w:pBdr>
        <w:rPr>
          <w:color w:val="000000"/>
        </w:rPr>
      </w:pPr>
      <w:r w:rsidRPr="003A71F7">
        <w:rPr>
          <w:b/>
          <w:color w:val="000000"/>
        </w:rPr>
        <w:t xml:space="preserve">Records Available for Audit: </w:t>
      </w:r>
      <w:r w:rsidRPr="003A71F7">
        <w:rPr>
          <w:color w:val="000000"/>
        </w:rPr>
        <w:t xml:space="preserve">The Party shall maintain all records pertaining to performance under this agreement. “Records” means any written or recorded information, regardless of physical form or characteristics, which is produced or acquired by the Party in the performance of this agreement. Records produced or acquired in a machine readable 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litigation, claim, or audit is started before the expiration of the three-year period, the records shall be retained until all litigation, claims or audit findings involving the records have been resolved. </w:t>
      </w:r>
    </w:p>
    <w:p w14:paraId="61F7EB23" w14:textId="77777777" w:rsidR="008F43CB" w:rsidRPr="003A71F7" w:rsidRDefault="008F43CB" w:rsidP="008F43CB">
      <w:pPr>
        <w:pBdr>
          <w:top w:val="nil"/>
          <w:left w:val="nil"/>
          <w:bottom w:val="nil"/>
          <w:right w:val="nil"/>
          <w:between w:val="nil"/>
        </w:pBdr>
        <w:ind w:left="720"/>
        <w:rPr>
          <w:color w:val="000000"/>
        </w:rPr>
      </w:pPr>
    </w:p>
    <w:p w14:paraId="7F049B37" w14:textId="77777777" w:rsidR="008F43CB" w:rsidRPr="003A71F7" w:rsidRDefault="008F43CB" w:rsidP="008F43CB">
      <w:pPr>
        <w:pBdr>
          <w:top w:val="nil"/>
          <w:left w:val="nil"/>
          <w:bottom w:val="nil"/>
          <w:right w:val="nil"/>
          <w:between w:val="nil"/>
        </w:pBdr>
        <w:ind w:left="276"/>
        <w:rPr>
          <w:color w:val="000000"/>
        </w:rPr>
      </w:pPr>
    </w:p>
    <w:p w14:paraId="6EC396B2" w14:textId="77777777" w:rsidR="008F43CB" w:rsidRPr="003A71F7" w:rsidRDefault="008F43CB" w:rsidP="008F43CB">
      <w:r w:rsidRPr="003A71F7">
        <w:rPr>
          <w:b/>
        </w:rPr>
        <w:lastRenderedPageBreak/>
        <w:t xml:space="preserve">14. Fair Employment Practices and Americans with Disabilities Act: </w:t>
      </w:r>
      <w:r w:rsidRPr="003A71F7">
        <w:t xml:space="preserve">Party agrees to comply with the requirement of 21 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 </w:t>
      </w:r>
    </w:p>
    <w:p w14:paraId="60792578" w14:textId="77777777" w:rsidR="008F43CB" w:rsidRPr="003A71F7" w:rsidRDefault="008F43CB" w:rsidP="008F43CB">
      <w:r w:rsidRPr="003A71F7">
        <w:rPr>
          <w:b/>
        </w:rPr>
        <w:t xml:space="preserve">16. Taxes Due to the State: </w:t>
      </w:r>
    </w:p>
    <w:p w14:paraId="229F61B5" w14:textId="77777777" w:rsidR="008F43CB" w:rsidRPr="003A71F7" w:rsidRDefault="008F43CB" w:rsidP="008F43CB">
      <w:pPr>
        <w:numPr>
          <w:ilvl w:val="0"/>
          <w:numId w:val="3"/>
        </w:numPr>
        <w:spacing w:after="78"/>
      </w:pPr>
      <w:r w:rsidRPr="003A71F7">
        <w:rPr>
          <w:b/>
        </w:rPr>
        <w:t xml:space="preserve">A. </w:t>
      </w:r>
      <w:r w:rsidRPr="003A71F7">
        <w:t xml:space="preserve">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 State. </w:t>
      </w:r>
    </w:p>
    <w:p w14:paraId="577432EC" w14:textId="77777777" w:rsidR="008F43CB" w:rsidRPr="003A71F7" w:rsidRDefault="008F43CB" w:rsidP="008F43CB">
      <w:pPr>
        <w:numPr>
          <w:ilvl w:val="0"/>
          <w:numId w:val="3"/>
        </w:numPr>
        <w:spacing w:after="78"/>
      </w:pPr>
      <w:r w:rsidRPr="003A71F7">
        <w:rPr>
          <w:b/>
        </w:rPr>
        <w:t xml:space="preserve">B. </w:t>
      </w:r>
      <w:r w:rsidRPr="003A71F7">
        <w:t xml:space="preserve">Party certifies under the pains and penalties of perjury that, as of the date this Agreement is signed, the Party is in good standing with respect to, or in full compliance with, a plan to pay any and all taxes due the State of Vermont. </w:t>
      </w:r>
    </w:p>
    <w:p w14:paraId="1FD25D3B" w14:textId="77777777" w:rsidR="008F43CB" w:rsidRPr="003A71F7" w:rsidRDefault="008F43CB" w:rsidP="008F43CB">
      <w:pPr>
        <w:numPr>
          <w:ilvl w:val="0"/>
          <w:numId w:val="3"/>
        </w:numPr>
        <w:spacing w:after="78"/>
      </w:pPr>
      <w:r w:rsidRPr="003A71F7">
        <w:rPr>
          <w:b/>
        </w:rPr>
        <w:t xml:space="preserve">C. </w:t>
      </w:r>
      <w:r w:rsidRPr="003A71F7">
        <w:t xml:space="preserve">Party understands that final payment under this Agreement may be withheld if the Commissioner of Taxes determines that the Party is not in good standing with respect to or in full compliance with a plan to pay any and all taxes due to the State of Vermont. </w:t>
      </w:r>
    </w:p>
    <w:p w14:paraId="644F5D93" w14:textId="77777777" w:rsidR="008F43CB" w:rsidRPr="003A71F7" w:rsidRDefault="008F43CB" w:rsidP="008F43CB">
      <w:pPr>
        <w:numPr>
          <w:ilvl w:val="0"/>
          <w:numId w:val="3"/>
        </w:numPr>
      </w:pPr>
      <w:r w:rsidRPr="003A71F7">
        <w:rPr>
          <w:b/>
        </w:rPr>
        <w:t xml:space="preserve">D. </w:t>
      </w:r>
      <w:r w:rsidRPr="003A71F7">
        <w:t xml:space="preserve">Party also understands the State may set off taxes (and related penalties, interest and fees) due to the State of Vermont, but only if the Party has failed to make an appeal within the time allowed by law, or an appeal has been taken and finally determined and the Party has no further legal recourse to contest the amounts due. </w:t>
      </w:r>
    </w:p>
    <w:p w14:paraId="53C5B2A2" w14:textId="77777777" w:rsidR="008F43CB" w:rsidRPr="003A71F7" w:rsidRDefault="008F43CB" w:rsidP="008F43CB"/>
    <w:p w14:paraId="6262CFB6" w14:textId="77777777" w:rsidR="008F43CB" w:rsidRPr="003A71F7" w:rsidRDefault="008F43CB" w:rsidP="008F43CB">
      <w:r w:rsidRPr="003A71F7">
        <w:rPr>
          <w:b/>
        </w:rPr>
        <w:t xml:space="preserve">17. Taxation of Purchases: </w:t>
      </w:r>
      <w:r w:rsidRPr="003A71F7">
        <w:t xml:space="preserve">All State purchases must be invoiced tax free. An exemption certificate will be furnished upon request with respect to otherwise taxable items. </w:t>
      </w:r>
    </w:p>
    <w:p w14:paraId="03C75150" w14:textId="77777777" w:rsidR="008F43CB" w:rsidRPr="003A71F7" w:rsidRDefault="008F43CB" w:rsidP="008F43CB"/>
    <w:p w14:paraId="10871586" w14:textId="77777777" w:rsidR="008F43CB" w:rsidRPr="003A71F7" w:rsidRDefault="008F43CB" w:rsidP="008F43CB">
      <w:r w:rsidRPr="003A71F7">
        <w:rPr>
          <w:b/>
        </w:rPr>
        <w:t xml:space="preserve">18. Child Support: </w:t>
      </w:r>
      <w:r w:rsidRPr="003A71F7">
        <w:t xml:space="preserve">(Only applicable if the Party is a natural person, not a corporation or partnership.) Party states that, as of the date this Agreement is signed, he/she: </w:t>
      </w:r>
    </w:p>
    <w:p w14:paraId="295176A5" w14:textId="77777777" w:rsidR="008F43CB" w:rsidRPr="003A71F7" w:rsidRDefault="008F43CB" w:rsidP="008F43CB">
      <w:pPr>
        <w:numPr>
          <w:ilvl w:val="0"/>
          <w:numId w:val="4"/>
        </w:numPr>
        <w:spacing w:after="81"/>
      </w:pPr>
      <w:r w:rsidRPr="003A71F7">
        <w:rPr>
          <w:b/>
        </w:rPr>
        <w:t xml:space="preserve">A. is not under any obligation to pay child support; or </w:t>
      </w:r>
    </w:p>
    <w:p w14:paraId="35415DED" w14:textId="77777777" w:rsidR="008F43CB" w:rsidRPr="003A71F7" w:rsidRDefault="008F43CB" w:rsidP="008F43CB">
      <w:pPr>
        <w:numPr>
          <w:ilvl w:val="0"/>
          <w:numId w:val="4"/>
        </w:numPr>
        <w:spacing w:after="81"/>
      </w:pPr>
      <w:r w:rsidRPr="003A71F7">
        <w:rPr>
          <w:b/>
        </w:rPr>
        <w:t xml:space="preserve">B. is under such an obligation and is in good standing with respect to that obligation; or </w:t>
      </w:r>
    </w:p>
    <w:p w14:paraId="27BD199A" w14:textId="77777777" w:rsidR="008F43CB" w:rsidRPr="003A71F7" w:rsidRDefault="008F43CB" w:rsidP="008F43CB">
      <w:pPr>
        <w:numPr>
          <w:ilvl w:val="0"/>
          <w:numId w:val="4"/>
        </w:numPr>
      </w:pPr>
      <w:r w:rsidRPr="003A71F7">
        <w:rPr>
          <w:b/>
        </w:rPr>
        <w:t xml:space="preserve">C. </w:t>
      </w:r>
      <w:r w:rsidRPr="003A71F7">
        <w:t xml:space="preserve">has agreed to a payment plan with the Vermont Office of Child Support Services and is in full compliance with that plan. Party makes this statement with regard to support owed to any and all children residing in Vermont. In addition, if the Party is a resident of Vermont, Party makes this statement with regard to support owed to any and all children residing in any other state or territory of the United States. </w:t>
      </w:r>
    </w:p>
    <w:p w14:paraId="1C8BEDE2" w14:textId="77777777" w:rsidR="008F43CB" w:rsidRPr="003A71F7" w:rsidRDefault="008F43CB" w:rsidP="008F43CB">
      <w:pPr>
        <w:numPr>
          <w:ilvl w:val="0"/>
          <w:numId w:val="4"/>
        </w:numPr>
      </w:pPr>
    </w:p>
    <w:p w14:paraId="3F31AEC6" w14:textId="77777777" w:rsidR="008F43CB" w:rsidRPr="003A71F7" w:rsidRDefault="008F43CB" w:rsidP="008F43CB">
      <w:r w:rsidRPr="003A71F7">
        <w:rPr>
          <w:b/>
        </w:rPr>
        <w:t xml:space="preserve">20. No Gifts or Gratuities: </w:t>
      </w:r>
      <w:r w:rsidRPr="003A71F7">
        <w:t xml:space="preserve">Party shall not give title or possession of anything of substantial value (including property, currency, travel and/or education programs) to any officer or employee of the State during the term of this Agreement. </w:t>
      </w:r>
    </w:p>
    <w:p w14:paraId="700ABA31" w14:textId="77777777" w:rsidR="008F43CB" w:rsidRPr="003A71F7" w:rsidRDefault="008F43CB" w:rsidP="008F43CB"/>
    <w:p w14:paraId="6695E8F4" w14:textId="77777777" w:rsidR="008F43CB" w:rsidRPr="003A71F7" w:rsidRDefault="008F43CB" w:rsidP="008F43CB">
      <w:r w:rsidRPr="003A71F7">
        <w:rPr>
          <w:b/>
        </w:rPr>
        <w:t xml:space="preserve">22. Certification Regarding Debarment: </w:t>
      </w:r>
      <w:r w:rsidRPr="003A71F7">
        <w:t xml:space="preserve">Party certifies under pains and penalties of perjury that, as of the date that this Agreement is signed, neither Party nor Party’s principals (officers, directors, owners, or partners) are presently debarred, suspended, proposed for debarment, declared ineligible or excluded from participation in Federal programs, or programs supported in whole or in part by Federal funds. </w:t>
      </w:r>
    </w:p>
    <w:p w14:paraId="2016BBEC" w14:textId="77777777" w:rsidR="008F43CB" w:rsidRPr="003A71F7" w:rsidRDefault="008F43CB" w:rsidP="008F43CB">
      <w:r w:rsidRPr="003A71F7">
        <w:lastRenderedPageBreak/>
        <w:t xml:space="preserve">Party further certifies under pains and penalties of perjury that, as of the date that this Agreement is signed, Party is not presently debarred, suspended, nor named on the State’s debarment list at: </w:t>
      </w:r>
      <w:hyperlink r:id="rId5">
        <w:r w:rsidRPr="003A71F7">
          <w:rPr>
            <w:color w:val="0000FF"/>
            <w:u w:val="single"/>
          </w:rPr>
          <w:t>http://bgs.vermont.gov/purchasing/debarment</w:t>
        </w:r>
      </w:hyperlink>
      <w:r w:rsidRPr="003A71F7">
        <w:t xml:space="preserve"> </w:t>
      </w:r>
    </w:p>
    <w:p w14:paraId="23341A10" w14:textId="77777777" w:rsidR="008F43CB" w:rsidRPr="003A71F7" w:rsidRDefault="008F43CB" w:rsidP="008F43CB"/>
    <w:p w14:paraId="20D89CAD" w14:textId="77777777" w:rsidR="008F43CB" w:rsidRPr="003A71F7" w:rsidRDefault="008F43CB" w:rsidP="008F43CB">
      <w:r w:rsidRPr="003A71F7">
        <w:rPr>
          <w:b/>
        </w:rPr>
        <w:t xml:space="preserve">23. Conflict of Interest: </w:t>
      </w:r>
      <w:r w:rsidRPr="003A71F7">
        <w:t xml:space="preserve">Party shall fully disclose, in writing, any conflicts of interest or potential conflicts of interest. </w:t>
      </w:r>
    </w:p>
    <w:p w14:paraId="30FF498D" w14:textId="77777777" w:rsidR="008F43CB" w:rsidRPr="003A71F7" w:rsidRDefault="008F43CB" w:rsidP="008F43CB"/>
    <w:p w14:paraId="4CB5829C" w14:textId="77777777" w:rsidR="008F43CB" w:rsidRPr="003A71F7" w:rsidRDefault="008F43CB" w:rsidP="008F43CB">
      <w:r w:rsidRPr="003A71F7">
        <w:rPr>
          <w:b/>
        </w:rPr>
        <w:t xml:space="preserve">27. Termination: </w:t>
      </w:r>
    </w:p>
    <w:p w14:paraId="6A607316" w14:textId="77777777" w:rsidR="008F43CB" w:rsidRPr="003A71F7" w:rsidRDefault="008F43CB" w:rsidP="008F43CB">
      <w:pPr>
        <w:numPr>
          <w:ilvl w:val="0"/>
          <w:numId w:val="5"/>
        </w:numPr>
      </w:pPr>
      <w:r w:rsidRPr="003A71F7">
        <w:rPr>
          <w:b/>
        </w:rPr>
        <w:t xml:space="preserve">A. Non-Appropriation: </w:t>
      </w:r>
      <w:r w:rsidRPr="003A71F7">
        <w:t xml:space="preserve">If this Agreement extends into more than one fiscal year of the State (July 1 to 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may suspend or cancel this Grant immediately, and the State shall have no obligation to pay Subrecipient from State revenues. </w:t>
      </w:r>
    </w:p>
    <w:p w14:paraId="112BF9B9" w14:textId="77777777" w:rsidR="008F43CB" w:rsidRPr="003A71F7" w:rsidRDefault="008F43CB" w:rsidP="008F43CB">
      <w:pPr>
        <w:numPr>
          <w:ilvl w:val="0"/>
          <w:numId w:val="1"/>
        </w:numPr>
        <w:spacing w:after="78"/>
      </w:pPr>
      <w:r w:rsidRPr="003A71F7">
        <w:rPr>
          <w:b/>
        </w:rPr>
        <w:t xml:space="preserve">B. Termination for Cause: </w:t>
      </w:r>
      <w:r w:rsidRPr="003A71F7">
        <w:t xml:space="preserve">Either party may terminate this Agreement if a party materially breaches its obligations under this Agreement, and such breach is not cured within thirty (30) days after delivery of the non-breaching party’s notice or such longer time as the non-breaching party may specify in the notice. </w:t>
      </w:r>
    </w:p>
    <w:p w14:paraId="5F17E2CE" w14:textId="77777777" w:rsidR="008F43CB" w:rsidRPr="003A71F7" w:rsidRDefault="008F43CB" w:rsidP="008F43CB">
      <w:pPr>
        <w:numPr>
          <w:ilvl w:val="0"/>
          <w:numId w:val="1"/>
        </w:numPr>
      </w:pPr>
      <w:r w:rsidRPr="003A71F7">
        <w:rPr>
          <w:b/>
        </w:rPr>
        <w:t xml:space="preserve">C. Termination Assistance: </w:t>
      </w:r>
      <w:r w:rsidRPr="003A71F7">
        <w:t xml:space="preserve">Upon nearing the end of the final term or termination of this Agreement, without respect to cause, the Party shall take all reasonable and prudent measures to facilitate any transition required by the State. All State property, tangible and intangible, shall be returned to the State upon demand at no additional cost to the State in a format acceptable to the State. </w:t>
      </w:r>
    </w:p>
    <w:p w14:paraId="3264E64F" w14:textId="77777777" w:rsidR="008F43CB" w:rsidRPr="003A71F7" w:rsidRDefault="008F43CB" w:rsidP="008F43CB"/>
    <w:p w14:paraId="63E426A2" w14:textId="77777777" w:rsidR="008F43CB" w:rsidRPr="003A71F7" w:rsidRDefault="008F43CB" w:rsidP="008F43CB">
      <w:r w:rsidRPr="003A71F7">
        <w:rPr>
          <w:b/>
        </w:rPr>
        <w:t xml:space="preserve">28. Continuity of Performance: </w:t>
      </w:r>
      <w:r w:rsidRPr="003A71F7">
        <w:t xml:space="preserve">In the event of a dispute between the Party and the State, each party will continue to perform its obligations under this Agreement during the resolution of the dispute until this Agreement is terminated in accordance with its terms. </w:t>
      </w:r>
    </w:p>
    <w:p w14:paraId="42AB0F0F" w14:textId="77777777" w:rsidR="008F43CB" w:rsidRPr="003A71F7" w:rsidRDefault="008F43CB" w:rsidP="008F43CB">
      <w:pPr>
        <w:rPr>
          <w:b/>
        </w:rPr>
      </w:pPr>
    </w:p>
    <w:p w14:paraId="376D961B" w14:textId="77777777" w:rsidR="008F43CB" w:rsidRPr="003A71F7" w:rsidRDefault="008F43CB" w:rsidP="008F43CB">
      <w:r w:rsidRPr="003A71F7">
        <w:rPr>
          <w:b/>
        </w:rPr>
        <w:t xml:space="preserve">29. No Implied Waiver of Remedies: </w:t>
      </w:r>
      <w:r w:rsidRPr="003A71F7">
        <w:t xml:space="preserve">Either party’s delay or failure to exercise any right, power or remedy under this Agreement shall not impair any such right, power or remedy, or be construed as a waiver of any such right, power or remedy. All waivers must be in writing. </w:t>
      </w:r>
    </w:p>
    <w:p w14:paraId="0224539E" w14:textId="77777777" w:rsidR="008F43CB" w:rsidRPr="003A71F7" w:rsidRDefault="008F43CB" w:rsidP="008F43CB">
      <w:pPr>
        <w:rPr>
          <w:b/>
        </w:rPr>
      </w:pPr>
    </w:p>
    <w:p w14:paraId="46A884A7" w14:textId="77777777" w:rsidR="008F43CB" w:rsidRPr="003A71F7" w:rsidRDefault="008F43CB" w:rsidP="008F43CB">
      <w:r w:rsidRPr="003A71F7">
        <w:rPr>
          <w:b/>
        </w:rPr>
        <w:t xml:space="preserve">30. State Facilities: </w:t>
      </w:r>
      <w:r w:rsidRPr="003A71F7">
        <w:t xml:space="preserve">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 whatsoever. </w:t>
      </w:r>
    </w:p>
    <w:p w14:paraId="49F5D39C" w14:textId="77777777" w:rsidR="008F43CB" w:rsidRPr="003A71F7" w:rsidRDefault="008F43CB" w:rsidP="008F43CB"/>
    <w:p w14:paraId="76C3E973" w14:textId="77777777" w:rsidR="008F43CB" w:rsidRPr="003A71F7" w:rsidRDefault="008F43CB" w:rsidP="008F43CB">
      <w:r w:rsidRPr="003A71F7">
        <w:rPr>
          <w:b/>
        </w:rPr>
        <w:t xml:space="preserve">32. Requirements Pertaining Only to State-Funded Grants: </w:t>
      </w:r>
    </w:p>
    <w:p w14:paraId="54DFE28D" w14:textId="77777777" w:rsidR="008F43CB" w:rsidRPr="003A71F7" w:rsidRDefault="008F43CB" w:rsidP="008F43CB"/>
    <w:p w14:paraId="2C032C24" w14:textId="77777777" w:rsidR="008F43CB" w:rsidRPr="003A71F7" w:rsidRDefault="008F43CB" w:rsidP="008F43CB">
      <w:pPr>
        <w:spacing w:after="78"/>
      </w:pPr>
      <w:r w:rsidRPr="003A71F7">
        <w:rPr>
          <w:b/>
        </w:rPr>
        <w:t xml:space="preserve">A. Certification Regarding Use of State Funds: </w:t>
      </w:r>
      <w:r w:rsidRPr="003A71F7">
        <w:t xml:space="preserve">If Party is an employer and this Agreement is a State-funded grant in excess of $1,001, Party certifies that none of these State funds will be used to interfere with or restrain the exercise of Party’s employee’s rights with respect to unionization. </w:t>
      </w:r>
    </w:p>
    <w:p w14:paraId="10C130A8" w14:textId="77777777" w:rsidR="008F43CB" w:rsidRPr="003A71F7" w:rsidRDefault="008F43CB" w:rsidP="008F43CB">
      <w:pPr>
        <w:pBdr>
          <w:top w:val="nil"/>
          <w:left w:val="nil"/>
          <w:bottom w:val="nil"/>
          <w:right w:val="nil"/>
          <w:between w:val="nil"/>
        </w:pBdr>
        <w:rPr>
          <w:color w:val="000000"/>
          <w:u w:val="single"/>
        </w:rPr>
      </w:pPr>
    </w:p>
    <w:p w14:paraId="5E744CC2" w14:textId="77777777" w:rsidR="008F43CB" w:rsidRPr="003A71F7" w:rsidRDefault="008F43CB" w:rsidP="008F43CB">
      <w:pPr>
        <w:pBdr>
          <w:top w:val="nil"/>
          <w:left w:val="nil"/>
          <w:bottom w:val="nil"/>
          <w:right w:val="nil"/>
          <w:between w:val="nil"/>
        </w:pBdr>
        <w:rPr>
          <w:color w:val="000000"/>
          <w:u w:val="single"/>
        </w:rPr>
      </w:pPr>
    </w:p>
    <w:p w14:paraId="440E744C" w14:textId="77777777" w:rsidR="008F43CB" w:rsidRPr="008F43CB" w:rsidRDefault="008F43CB">
      <w:pPr>
        <w:rPr>
          <w:rFonts w:ascii="Arial" w:hAnsi="Arial" w:cs="Arial"/>
          <w:bCs/>
          <w:iCs/>
          <w:sz w:val="22"/>
          <w:szCs w:val="28"/>
        </w:rPr>
      </w:pPr>
    </w:p>
    <w:sectPr w:rsidR="008F43CB" w:rsidRPr="008F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6069"/>
    <w:multiLevelType w:val="multilevel"/>
    <w:tmpl w:val="C466F9D4"/>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2E14150"/>
    <w:multiLevelType w:val="multilevel"/>
    <w:tmpl w:val="CE2E6C50"/>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5A1218E"/>
    <w:multiLevelType w:val="multilevel"/>
    <w:tmpl w:val="F4922134"/>
    <w:lvl w:ilvl="0">
      <w:start w:val="10"/>
      <w:numFmt w:val="decimal"/>
      <w:lvlText w:val="%1."/>
      <w:lvlJc w:val="left"/>
      <w:pPr>
        <w:ind w:left="276" w:hanging="360"/>
      </w:pPr>
      <w:rPr>
        <w:b/>
      </w:rPr>
    </w:lvl>
    <w:lvl w:ilvl="1">
      <w:start w:val="1"/>
      <w:numFmt w:val="lowerLetter"/>
      <w:lvlText w:val="%2."/>
      <w:lvlJc w:val="left"/>
      <w:pPr>
        <w:ind w:left="996" w:hanging="360"/>
      </w:pPr>
    </w:lvl>
    <w:lvl w:ilvl="2">
      <w:start w:val="1"/>
      <w:numFmt w:val="lowerRoman"/>
      <w:lvlText w:val="%3."/>
      <w:lvlJc w:val="right"/>
      <w:pPr>
        <w:ind w:left="1716" w:hanging="180"/>
      </w:pPr>
    </w:lvl>
    <w:lvl w:ilvl="3">
      <w:start w:val="1"/>
      <w:numFmt w:val="decimal"/>
      <w:lvlText w:val="%4."/>
      <w:lvlJc w:val="left"/>
      <w:pPr>
        <w:ind w:left="2436" w:hanging="360"/>
      </w:pPr>
    </w:lvl>
    <w:lvl w:ilvl="4">
      <w:start w:val="1"/>
      <w:numFmt w:val="lowerLetter"/>
      <w:lvlText w:val="%5."/>
      <w:lvlJc w:val="left"/>
      <w:pPr>
        <w:ind w:left="3156" w:hanging="360"/>
      </w:pPr>
    </w:lvl>
    <w:lvl w:ilvl="5">
      <w:start w:val="1"/>
      <w:numFmt w:val="lowerRoman"/>
      <w:lvlText w:val="%6."/>
      <w:lvlJc w:val="right"/>
      <w:pPr>
        <w:ind w:left="3876" w:hanging="180"/>
      </w:pPr>
    </w:lvl>
    <w:lvl w:ilvl="6">
      <w:start w:val="1"/>
      <w:numFmt w:val="decimal"/>
      <w:lvlText w:val="%7."/>
      <w:lvlJc w:val="left"/>
      <w:pPr>
        <w:ind w:left="4596" w:hanging="360"/>
      </w:pPr>
    </w:lvl>
    <w:lvl w:ilvl="7">
      <w:start w:val="1"/>
      <w:numFmt w:val="lowerLetter"/>
      <w:lvlText w:val="%8."/>
      <w:lvlJc w:val="left"/>
      <w:pPr>
        <w:ind w:left="5316" w:hanging="360"/>
      </w:pPr>
    </w:lvl>
    <w:lvl w:ilvl="8">
      <w:start w:val="1"/>
      <w:numFmt w:val="lowerRoman"/>
      <w:lvlText w:val="%9."/>
      <w:lvlJc w:val="right"/>
      <w:pPr>
        <w:ind w:left="6036" w:hanging="180"/>
      </w:pPr>
    </w:lvl>
  </w:abstractNum>
  <w:abstractNum w:abstractNumId="3" w15:restartNumberingAfterBreak="0">
    <w:nsid w:val="698F63F9"/>
    <w:multiLevelType w:val="multilevel"/>
    <w:tmpl w:val="07EC6DE2"/>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E531C31"/>
    <w:multiLevelType w:val="multilevel"/>
    <w:tmpl w:val="87EE5F7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8B"/>
    <w:rsid w:val="00136173"/>
    <w:rsid w:val="001439DA"/>
    <w:rsid w:val="001938CC"/>
    <w:rsid w:val="00331676"/>
    <w:rsid w:val="00353F5D"/>
    <w:rsid w:val="003F2634"/>
    <w:rsid w:val="0043738B"/>
    <w:rsid w:val="004C4CFE"/>
    <w:rsid w:val="0070086A"/>
    <w:rsid w:val="008F43CB"/>
    <w:rsid w:val="00982CBE"/>
    <w:rsid w:val="00E8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509B"/>
  <w15:chartTrackingRefBased/>
  <w15:docId w15:val="{6AAEE97B-DD35-43D1-84C2-A9FCD477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373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3738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738B"/>
    <w:rPr>
      <w:rFonts w:ascii="Arial" w:eastAsia="Times New Roman" w:hAnsi="Arial" w:cs="Arial"/>
      <w:b/>
      <w:bCs/>
      <w:kern w:val="32"/>
      <w:sz w:val="32"/>
      <w:szCs w:val="32"/>
    </w:rPr>
  </w:style>
  <w:style w:type="character" w:customStyle="1" w:styleId="Heading2Char">
    <w:name w:val="Heading 2 Char"/>
    <w:basedOn w:val="DefaultParagraphFont"/>
    <w:link w:val="Heading2"/>
    <w:rsid w:val="0043738B"/>
    <w:rPr>
      <w:rFonts w:ascii="Cambria" w:eastAsia="Times New Roman" w:hAnsi="Cambria" w:cs="Times New Roman"/>
      <w:b/>
      <w:bCs/>
      <w:i/>
      <w:iCs/>
      <w:sz w:val="28"/>
      <w:szCs w:val="28"/>
    </w:rPr>
  </w:style>
  <w:style w:type="table" w:styleId="TableGrid">
    <w:name w:val="Table Grid"/>
    <w:basedOn w:val="TableNormal"/>
    <w:uiPriority w:val="39"/>
    <w:rsid w:val="0035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gs.vermont.gov/purchasing/debar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Munno</dc:creator>
  <cp:keywords/>
  <dc:description/>
  <cp:lastModifiedBy>Christian Pelletier</cp:lastModifiedBy>
  <cp:revision>2</cp:revision>
  <dcterms:created xsi:type="dcterms:W3CDTF">2022-07-18T22:14:00Z</dcterms:created>
  <dcterms:modified xsi:type="dcterms:W3CDTF">2022-07-18T22:14:00Z</dcterms:modified>
</cp:coreProperties>
</file>